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314A" w14:textId="77777777" w:rsidR="000C76FF" w:rsidRPr="000D3BC7" w:rsidRDefault="00CD1316" w:rsidP="00BA3FB6">
      <w:pPr>
        <w:jc w:val="right"/>
        <w:rPr>
          <w:rFonts w:ascii="Arial" w:hAnsi="Arial" w:cs="Arial"/>
          <w:b/>
          <w:sz w:val="28"/>
          <w:szCs w:val="28"/>
        </w:rPr>
      </w:pPr>
      <w:r>
        <w:rPr>
          <w:noProof/>
        </w:rPr>
        <w:pict w14:anchorId="6DCFE220">
          <v:roundrect id="_x0000_s1027" style="position:absolute;left:0;text-align:left;margin-left:895.05pt;margin-top:0;width:503.25pt;height:297pt;z-index:251657216;mso-position-horizontal:right;mso-position-horizontal-relative:margin;mso-position-vertical:top;mso-position-vertical-relative:margin" arcsize="10923f" filled="f" stroked="f">
            <v:textbox style="mso-rotate-with-shape:t"/>
            <w10:wrap anchorx="margin" anchory="margin"/>
          </v:roundrect>
        </w:pict>
      </w:r>
      <w:r>
        <w:rPr>
          <w:noProof/>
        </w:rPr>
        <w:pict w14:anchorId="5B22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7pt;margin-top:2.8pt;width:133pt;height:26pt;z-index:251656192;visibility:visible">
            <v:imagedata r:id="rId6" o:title=""/>
          </v:shape>
        </w:pict>
      </w:r>
      <w:r w:rsidR="00AE6492">
        <w:rPr>
          <w:rFonts w:ascii="Arial" w:hAnsi="Arial" w:cs="Arial"/>
          <w:b/>
          <w:sz w:val="28"/>
          <w:szCs w:val="28"/>
        </w:rPr>
        <w:t xml:space="preserve">        </w:t>
      </w:r>
      <w:r>
        <w:pict w14:anchorId="6436CF01">
          <v:shape id="Picture 3" o:spid="_x0000_i1025" type="#_x0000_t75" alt="new_echeck_logo_top_sm" style="width:44.4pt;height:45.6pt;visibility:visible;mso-position-horizontal:right;mso-position-horizontal-relative:margin;mso-position-vertical:top;mso-position-vertical-relative:margin" o:allowoverlap="f">
            <v:imagedata r:id="rId7" o:title="new_echeck_logo_top_sm"/>
          </v:shape>
        </w:pict>
      </w:r>
    </w:p>
    <w:p w14:paraId="3484E762" w14:textId="77777777" w:rsidR="00D77557" w:rsidRPr="00757597" w:rsidRDefault="00D77557" w:rsidP="00D77557">
      <w:pPr>
        <w:spacing w:after="160" w:line="278" w:lineRule="auto"/>
        <w:rPr>
          <w:rFonts w:ascii="Aptos" w:hAnsi="Aptos"/>
          <w:b/>
          <w:bCs/>
          <w:sz w:val="20"/>
          <w:szCs w:val="20"/>
        </w:rPr>
      </w:pPr>
    </w:p>
    <w:p w14:paraId="69AD6C0C" w14:textId="77777777" w:rsidR="00D77557" w:rsidRPr="006D6382" w:rsidRDefault="00D77557" w:rsidP="00866A78">
      <w:pPr>
        <w:spacing w:after="160" w:line="278" w:lineRule="auto"/>
        <w:jc w:val="center"/>
        <w:rPr>
          <w:rFonts w:ascii="Aptos" w:hAnsi="Aptos"/>
          <w:sz w:val="28"/>
          <w:szCs w:val="28"/>
          <w:lang w:val="es-CO"/>
        </w:rPr>
      </w:pPr>
      <w:r w:rsidRPr="006D6382">
        <w:rPr>
          <w:rFonts w:ascii="Aptos" w:hAnsi="Aptos"/>
          <w:b/>
          <w:bCs/>
          <w:sz w:val="28"/>
          <w:szCs w:val="28"/>
          <w:lang w:val="es-CO"/>
        </w:rPr>
        <w:t>Hoja informativa sobre la "preparación" del vehículo para OBD</w:t>
      </w:r>
    </w:p>
    <w:p w14:paraId="3D16F335" w14:textId="77777777" w:rsidR="00D77557" w:rsidRPr="006D6382" w:rsidRDefault="00D77557" w:rsidP="006D6382">
      <w:pPr>
        <w:spacing w:after="160"/>
        <w:rPr>
          <w:rFonts w:ascii="Aptos" w:hAnsi="Aptos"/>
          <w:sz w:val="20"/>
          <w:szCs w:val="20"/>
          <w:lang w:val="es-CO"/>
        </w:rPr>
      </w:pPr>
      <w:r w:rsidRPr="006D6382">
        <w:rPr>
          <w:rFonts w:ascii="Aptos" w:hAnsi="Aptos"/>
          <w:sz w:val="20"/>
          <w:szCs w:val="20"/>
          <w:lang w:val="es-CO"/>
        </w:rPr>
        <w:t>El sistema OBD (</w:t>
      </w:r>
      <w:proofErr w:type="spellStart"/>
      <w:r w:rsidRPr="006D6382">
        <w:rPr>
          <w:rFonts w:ascii="Aptos" w:hAnsi="Aptos"/>
          <w:sz w:val="20"/>
          <w:szCs w:val="20"/>
          <w:lang w:val="es-CO"/>
        </w:rPr>
        <w:t>On</w:t>
      </w:r>
      <w:proofErr w:type="spellEnd"/>
      <w:r w:rsidRPr="006D6382">
        <w:rPr>
          <w:rFonts w:ascii="Aptos" w:hAnsi="Aptos"/>
          <w:sz w:val="20"/>
          <w:szCs w:val="20"/>
          <w:lang w:val="es-CO"/>
        </w:rPr>
        <w:t xml:space="preserve"> </w:t>
      </w:r>
      <w:proofErr w:type="spellStart"/>
      <w:r w:rsidRPr="006D6382">
        <w:rPr>
          <w:rFonts w:ascii="Aptos" w:hAnsi="Aptos"/>
          <w:sz w:val="20"/>
          <w:szCs w:val="20"/>
          <w:lang w:val="es-CO"/>
        </w:rPr>
        <w:t>Board</w:t>
      </w:r>
      <w:proofErr w:type="spellEnd"/>
      <w:r w:rsidRPr="006D6382">
        <w:rPr>
          <w:rFonts w:ascii="Aptos" w:hAnsi="Aptos"/>
          <w:sz w:val="20"/>
          <w:szCs w:val="20"/>
          <w:lang w:val="es-CO"/>
        </w:rPr>
        <w:t xml:space="preserve"> </w:t>
      </w:r>
      <w:proofErr w:type="spellStart"/>
      <w:r w:rsidRPr="006D6382">
        <w:rPr>
          <w:rFonts w:ascii="Aptos" w:hAnsi="Aptos"/>
          <w:sz w:val="20"/>
          <w:szCs w:val="20"/>
          <w:lang w:val="es-CO"/>
        </w:rPr>
        <w:t>Diagnostic</w:t>
      </w:r>
      <w:proofErr w:type="spellEnd"/>
      <w:r w:rsidRPr="006D6382">
        <w:rPr>
          <w:rFonts w:ascii="Aptos" w:hAnsi="Aptos"/>
          <w:sz w:val="20"/>
          <w:szCs w:val="20"/>
          <w:lang w:val="es-CO"/>
        </w:rPr>
        <w:t>, diagnóstico a bordo) es un sistema de monitoreo computarizado. Este sofisticado sistema sirve como un indicador temprano de que se exceden los estándares de emisiones del vehículo, aumenta la contaminación del aire y puede haber daños al motor. Un monitor OBD es una prueba computarizada o una serie de pruebas computarizadas que se utilizan para determinar si un dispositivo o sistema de control de emisiones está fallando. El vehículo realiza la prueba computarizada de au</w:t>
      </w:r>
      <w:r w:rsidRPr="006D6382">
        <w:t>t</w:t>
      </w:r>
      <w:r w:rsidRPr="006D6382">
        <w:rPr>
          <w:rFonts w:ascii="Aptos" w:hAnsi="Aptos"/>
          <w:sz w:val="20"/>
          <w:szCs w:val="20"/>
          <w:lang w:val="es-CO"/>
        </w:rPr>
        <w:t>odiagnóstico cuando se conduce el vehículo. Esto se conoce comúnmente como "ciclo de conducción".</w:t>
      </w:r>
    </w:p>
    <w:p w14:paraId="290B9CA0" w14:textId="77777777" w:rsidR="00D77557" w:rsidRPr="006D6382" w:rsidRDefault="00D77557" w:rsidP="006D6382">
      <w:pPr>
        <w:spacing w:after="160"/>
        <w:rPr>
          <w:rFonts w:ascii="Aptos" w:hAnsi="Aptos"/>
          <w:sz w:val="20"/>
          <w:szCs w:val="20"/>
          <w:lang w:val="es-CO"/>
        </w:rPr>
      </w:pPr>
      <w:r w:rsidRPr="006D6382">
        <w:rPr>
          <w:rFonts w:ascii="Aptos" w:hAnsi="Aptos"/>
          <w:sz w:val="20"/>
          <w:szCs w:val="20"/>
          <w:lang w:val="es-CO"/>
        </w:rPr>
        <w:t xml:space="preserve">Si es posible, al trabajar en un vehículo antes o después de una </w:t>
      </w:r>
      <w:proofErr w:type="gramStart"/>
      <w:r w:rsidRPr="006D6382">
        <w:rPr>
          <w:rFonts w:ascii="Aptos" w:hAnsi="Aptos"/>
          <w:sz w:val="20"/>
          <w:szCs w:val="20"/>
          <w:lang w:val="es-CO"/>
        </w:rPr>
        <w:t>prueba</w:t>
      </w:r>
      <w:r w:rsidR="00B06865" w:rsidRPr="006D6382">
        <w:rPr>
          <w:rFonts w:ascii="Aptos" w:hAnsi="Aptos"/>
          <w:sz w:val="20"/>
          <w:szCs w:val="20"/>
          <w:lang w:val="es-CO"/>
        </w:rPr>
        <w:t xml:space="preserve"> </w:t>
      </w:r>
      <w:r w:rsidRPr="006D6382">
        <w:rPr>
          <w:rFonts w:ascii="Aptos" w:hAnsi="Aptos"/>
          <w:sz w:val="20"/>
          <w:szCs w:val="20"/>
          <w:lang w:val="es-CO"/>
        </w:rPr>
        <w:t xml:space="preserve"> E</w:t>
      </w:r>
      <w:proofErr w:type="gramEnd"/>
      <w:r w:rsidRPr="006D6382">
        <w:rPr>
          <w:rFonts w:ascii="Aptos" w:hAnsi="Aptos"/>
          <w:sz w:val="20"/>
          <w:szCs w:val="20"/>
          <w:lang w:val="es-CO"/>
        </w:rPr>
        <w:t>-</w:t>
      </w:r>
      <w:proofErr w:type="spellStart"/>
      <w:r w:rsidRPr="006D6382">
        <w:rPr>
          <w:rFonts w:ascii="Aptos" w:hAnsi="Aptos"/>
          <w:sz w:val="20"/>
          <w:szCs w:val="20"/>
          <w:lang w:val="es-CO"/>
        </w:rPr>
        <w:t>Check</w:t>
      </w:r>
      <w:proofErr w:type="spellEnd"/>
      <w:r w:rsidRPr="006D6382">
        <w:rPr>
          <w:rFonts w:ascii="Aptos" w:hAnsi="Aptos"/>
          <w:sz w:val="20"/>
          <w:szCs w:val="20"/>
          <w:lang w:val="es-CO"/>
        </w:rPr>
        <w:t xml:space="preserve"> OBD II, </w:t>
      </w:r>
      <w:r w:rsidRPr="006D6382">
        <w:rPr>
          <w:rFonts w:ascii="Aptos" w:hAnsi="Aptos"/>
          <w:b/>
          <w:bCs/>
          <w:sz w:val="20"/>
          <w:szCs w:val="20"/>
          <w:lang w:val="es-CO"/>
        </w:rPr>
        <w:t>no borre</w:t>
      </w:r>
      <w:r w:rsidRPr="006D6382">
        <w:rPr>
          <w:rFonts w:ascii="Aptos" w:hAnsi="Aptos"/>
          <w:sz w:val="20"/>
          <w:szCs w:val="20"/>
          <w:lang w:val="es-CO"/>
        </w:rPr>
        <w:t xml:space="preserve"> los códigos de diagnóstico de problemas (DTC) para que la luz de verificación del motor permanezca encendida después de la(s) reparación(es). Por lo tanto, </w:t>
      </w:r>
      <w:r w:rsidRPr="006D6382">
        <w:rPr>
          <w:rFonts w:ascii="Aptos" w:hAnsi="Aptos"/>
          <w:b/>
          <w:bCs/>
          <w:sz w:val="20"/>
          <w:szCs w:val="20"/>
          <w:lang w:val="es-CO"/>
        </w:rPr>
        <w:t>si fue la reparación correcta</w:t>
      </w:r>
      <w:r w:rsidRPr="006D6382">
        <w:rPr>
          <w:rFonts w:ascii="Aptos" w:hAnsi="Aptos"/>
          <w:sz w:val="20"/>
          <w:szCs w:val="20"/>
          <w:lang w:val="es-CO"/>
        </w:rPr>
        <w:t>, la luz de verificación del motor se apagará por sí sola mientras conduce el vehículo a través de su ciclo de conducción y le indica al conductor que el vehículo está listo para ser probado. Si la luz de verificación del motor no se apaga, es posible que se requieran reparaciones adicionales. Recuérdele a su técnico de reparación que prefiere mantener la luz de verificación del motor encendida después de la(s) reparación(es), si es posible.</w:t>
      </w:r>
    </w:p>
    <w:p w14:paraId="3D847819" w14:textId="77777777" w:rsidR="00D77557" w:rsidRPr="006D6382" w:rsidRDefault="00990B5C" w:rsidP="006D6382">
      <w:pPr>
        <w:spacing w:after="160"/>
        <w:rPr>
          <w:rFonts w:ascii="Aptos" w:hAnsi="Aptos"/>
          <w:sz w:val="20"/>
          <w:szCs w:val="20"/>
          <w:lang w:val="es-CO"/>
        </w:rPr>
      </w:pPr>
      <w:r w:rsidRPr="006D6382">
        <w:rPr>
          <w:rFonts w:ascii="Aptos" w:hAnsi="Aptos"/>
          <w:sz w:val="20"/>
          <w:szCs w:val="20"/>
          <w:lang w:val="es-CO"/>
        </w:rPr>
        <w:t>Si las reparaciones requieren que se borren los DTC de la computadora o que se desconecte la batería (que también borra los DTC), asegúrese de conducir el vehículo durante al menos dos o tres días (los vehículos más viejos pueden tardar más tiempo), incluidos los kilómetros en carretera y en ciudad. Esto hará que los monitores OBD se configuren en "listos" y listos para una prueba de emisiones. Desafortunadamente, cuando se borran los DTC, se apaga la luz de verificación del motor y es un juego de adivinanzas cuándo los monitores de la computadora están "listos" o "completos".</w:t>
      </w:r>
    </w:p>
    <w:p w14:paraId="1E0025FC" w14:textId="77777777" w:rsidR="00D77557" w:rsidRPr="006D6382" w:rsidRDefault="00990B5C" w:rsidP="006D6382">
      <w:pPr>
        <w:spacing w:after="160"/>
        <w:rPr>
          <w:rFonts w:ascii="Aptos" w:hAnsi="Aptos"/>
          <w:sz w:val="20"/>
          <w:szCs w:val="20"/>
          <w:lang w:val="es-CO"/>
        </w:rPr>
      </w:pPr>
      <w:r w:rsidRPr="006D6382">
        <w:rPr>
          <w:rFonts w:ascii="Aptos" w:hAnsi="Aptos"/>
          <w:sz w:val="20"/>
          <w:szCs w:val="20"/>
          <w:lang w:val="es-CO"/>
        </w:rPr>
        <w:t>Su vehículo realiza hasta 11 verificaciones de diagnóstico de componentes específicos de control de emisiones, como el motor, la transmisión, los sistemas de combustible y otros controles de emisiones. Cada verificación de diagnóstico se comunica con un monitor llamado monitor de preparación. Estas verificaciones de diagnóstico se realizan mientras se conduce el vehículo. Se deben cumplir ciertas condiciones de conducción para determinar si todos los componentes funcionan dentro de los estándares permitidos. Si se han realizado todas las verificaciones de diagnóstico, la computadora informa que los sistemas están "listos" o "completos". Si se han borrado los datos de diagnóstico durante las reparaciones del vehículo o debido a la desconexión de la batería, la computadora informa que los sistemas están "incompletos" o "no listos". Los vehículos son rechazados de la prueba cuando no se completan estas verificaciones de diagnóstico.</w:t>
      </w:r>
    </w:p>
    <w:p w14:paraId="06BDF24B" w14:textId="77777777" w:rsidR="00856C01" w:rsidRPr="006D6382" w:rsidRDefault="00856C01" w:rsidP="006D6382">
      <w:pPr>
        <w:jc w:val="both"/>
        <w:rPr>
          <w:rFonts w:ascii="Aptos" w:hAnsi="Aptos" w:cs="Arial"/>
          <w:sz w:val="20"/>
          <w:szCs w:val="20"/>
          <w:lang w:val="es-CO"/>
        </w:rPr>
      </w:pPr>
    </w:p>
    <w:p w14:paraId="4004CE22" w14:textId="77777777" w:rsidR="00D77557" w:rsidRPr="006D6382" w:rsidRDefault="00D77557" w:rsidP="006D6382">
      <w:pPr>
        <w:spacing w:after="160"/>
        <w:rPr>
          <w:rFonts w:ascii="Aptos" w:hAnsi="Aptos"/>
          <w:sz w:val="20"/>
          <w:szCs w:val="20"/>
          <w:lang w:val="es-CO"/>
        </w:rPr>
      </w:pPr>
      <w:r w:rsidRPr="006D6382">
        <w:rPr>
          <w:rFonts w:ascii="Aptos" w:hAnsi="Aptos"/>
          <w:b/>
          <w:bCs/>
          <w:sz w:val="20"/>
          <w:szCs w:val="20"/>
          <w:lang w:val="es-CO"/>
        </w:rPr>
        <w:t>¿Cómo puedo lograr que mi vehículo esté “preparado”?</w:t>
      </w:r>
    </w:p>
    <w:p w14:paraId="1364D29C" w14:textId="77777777" w:rsidR="00D77557" w:rsidRPr="006D6382" w:rsidRDefault="00D77557" w:rsidP="006D6382">
      <w:pPr>
        <w:spacing w:after="160"/>
        <w:rPr>
          <w:rFonts w:ascii="Aptos" w:hAnsi="Aptos"/>
          <w:sz w:val="20"/>
          <w:szCs w:val="20"/>
          <w:lang w:val="es-CO"/>
        </w:rPr>
      </w:pPr>
      <w:r w:rsidRPr="006D6382">
        <w:rPr>
          <w:rFonts w:ascii="Aptos" w:hAnsi="Aptos"/>
          <w:sz w:val="20"/>
          <w:szCs w:val="20"/>
          <w:lang w:val="es-CO"/>
        </w:rPr>
        <w:t>Si su vehículo ha sido reparado recientemente o la batería fue reemplazada o desconectada recientemente:</w:t>
      </w:r>
    </w:p>
    <w:p w14:paraId="1DF05F80" w14:textId="77777777" w:rsidR="00D77557" w:rsidRPr="006D6382" w:rsidRDefault="00D77557" w:rsidP="006D6382">
      <w:pPr>
        <w:numPr>
          <w:ilvl w:val="0"/>
          <w:numId w:val="7"/>
        </w:numPr>
        <w:spacing w:after="160"/>
        <w:rPr>
          <w:rFonts w:ascii="Aptos" w:hAnsi="Aptos"/>
          <w:sz w:val="20"/>
          <w:szCs w:val="20"/>
          <w:lang w:val="es-CO"/>
        </w:rPr>
      </w:pPr>
      <w:r w:rsidRPr="006D6382">
        <w:rPr>
          <w:rFonts w:ascii="Aptos" w:hAnsi="Aptos"/>
          <w:sz w:val="20"/>
          <w:szCs w:val="20"/>
          <w:lang w:val="es-CO"/>
        </w:rPr>
        <w:t>Conduzca el vehículo durante aproximadamente dos o tres días (los vehículos más antiguos pueden tardar más tiempo) en condiciones normales de conducción, incluidas la conducción en carretera y en ciudad. Cuanto más nuevo sea el vehículo, menos tiempo debería tardar. Cada vez que se desconecte la batería o se reinicie la computadora, el proceso del ciclo de conducción debe comenzar nuevamente.</w:t>
      </w:r>
    </w:p>
    <w:p w14:paraId="298C6726" w14:textId="77777777" w:rsidR="00D77557" w:rsidRPr="006D6382" w:rsidRDefault="00D77557" w:rsidP="006D6382">
      <w:pPr>
        <w:numPr>
          <w:ilvl w:val="0"/>
          <w:numId w:val="7"/>
        </w:numPr>
        <w:spacing w:after="160"/>
        <w:rPr>
          <w:rFonts w:ascii="Aptos" w:hAnsi="Aptos"/>
          <w:sz w:val="20"/>
          <w:szCs w:val="20"/>
          <w:lang w:val="es-CO"/>
        </w:rPr>
      </w:pPr>
      <w:r w:rsidRPr="006D6382">
        <w:rPr>
          <w:rFonts w:ascii="Aptos" w:hAnsi="Aptos"/>
          <w:sz w:val="20"/>
          <w:szCs w:val="20"/>
          <w:lang w:val="es-CO"/>
        </w:rPr>
        <w:t>Consulte el manual del propietario de su vehículo, comuníquese con su concesionario local o visite www.ohioecheck.org y haga clic en el mosaico de Preparación OBDII y Fallas de comunicación para obtener información sobre los ciclos de conducción.</w:t>
      </w:r>
    </w:p>
    <w:p w14:paraId="550BBA80" w14:textId="77777777" w:rsidR="00D77557" w:rsidRDefault="00D77557" w:rsidP="006D6382">
      <w:pPr>
        <w:spacing w:after="160"/>
        <w:rPr>
          <w:rFonts w:ascii="Aptos" w:hAnsi="Aptos"/>
          <w:b/>
          <w:bCs/>
          <w:sz w:val="20"/>
          <w:szCs w:val="20"/>
          <w:lang w:val="es-CO"/>
        </w:rPr>
      </w:pPr>
    </w:p>
    <w:p w14:paraId="4D60A236" w14:textId="77777777" w:rsidR="00CD1316" w:rsidRPr="006D6382" w:rsidRDefault="00CD1316" w:rsidP="006D6382">
      <w:pPr>
        <w:spacing w:after="160"/>
        <w:rPr>
          <w:rFonts w:ascii="Aptos" w:hAnsi="Aptos"/>
          <w:b/>
          <w:bCs/>
          <w:sz w:val="20"/>
          <w:szCs w:val="20"/>
          <w:lang w:val="es-CO"/>
        </w:rPr>
      </w:pPr>
    </w:p>
    <w:p w14:paraId="3DFE9CBD" w14:textId="77777777" w:rsidR="00D77557" w:rsidRPr="006D6382" w:rsidRDefault="00D77557" w:rsidP="006D6382">
      <w:pPr>
        <w:spacing w:after="160"/>
        <w:rPr>
          <w:rFonts w:ascii="Aptos" w:hAnsi="Aptos"/>
          <w:sz w:val="20"/>
          <w:szCs w:val="20"/>
          <w:lang w:val="es-CO"/>
        </w:rPr>
      </w:pPr>
      <w:r w:rsidRPr="006D6382">
        <w:rPr>
          <w:rFonts w:ascii="Aptos" w:hAnsi="Aptos"/>
          <w:b/>
          <w:bCs/>
          <w:sz w:val="20"/>
          <w:szCs w:val="20"/>
          <w:lang w:val="es-CO"/>
        </w:rPr>
        <w:t>¿Cómo puedo comprobar si mi vehículo está “listo”?</w:t>
      </w:r>
    </w:p>
    <w:p w14:paraId="6BCFC923" w14:textId="77777777" w:rsidR="00D77557" w:rsidRPr="006D6382" w:rsidRDefault="00D77557" w:rsidP="006D6382">
      <w:pPr>
        <w:spacing w:after="160"/>
        <w:rPr>
          <w:rFonts w:ascii="Aptos" w:hAnsi="Aptos"/>
          <w:sz w:val="20"/>
          <w:szCs w:val="20"/>
          <w:lang w:val="es-CO"/>
        </w:rPr>
      </w:pPr>
      <w:r w:rsidRPr="006D6382">
        <w:rPr>
          <w:rFonts w:ascii="Aptos" w:hAnsi="Aptos"/>
          <w:sz w:val="20"/>
          <w:szCs w:val="20"/>
          <w:lang w:val="es-CO"/>
        </w:rPr>
        <w:t xml:space="preserve">Además de volver a probar el vehículo, una herramienta de escaneo OBD2 es el mejor medio para determinar si los monitores del vehículo están listos o completos. Algunos manuales del propietario del vehículo brindan información sobre cómo el propietario del vehículo puede determinar si el sistema de diagnóstico está listo para la verificación de emisiones realizando un procedimiento determinado. La mayoría de las tiendas de repuestos para automóviles también pueden hacer esto por usted. Tenga en cuenta: si </w:t>
      </w:r>
      <w:r w:rsidRPr="006D6382">
        <w:t>u</w:t>
      </w:r>
      <w:r w:rsidRPr="006D6382">
        <w:rPr>
          <w:rFonts w:ascii="Aptos" w:hAnsi="Aptos"/>
          <w:sz w:val="20"/>
          <w:szCs w:val="20"/>
          <w:lang w:val="es-CO"/>
        </w:rPr>
        <w:t>sa la herramienta de escaneo para restablecer los monitores de preparación, el proceso del ciclo de conducción deberá comenzar de nuevo.</w:t>
      </w:r>
    </w:p>
    <w:sectPr w:rsidR="00D77557" w:rsidRPr="006D6382" w:rsidSect="00EF63A2">
      <w:pgSz w:w="12240" w:h="15840"/>
      <w:pgMar w:top="720" w:right="720" w:bottom="576"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A1530"/>
    <w:multiLevelType w:val="multilevel"/>
    <w:tmpl w:val="12A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C4C32"/>
    <w:multiLevelType w:val="hybridMultilevel"/>
    <w:tmpl w:val="3382723E"/>
    <w:lvl w:ilvl="0" w:tplc="A232056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0A2D26"/>
    <w:multiLevelType w:val="hybridMultilevel"/>
    <w:tmpl w:val="D5B2C550"/>
    <w:lvl w:ilvl="0" w:tplc="3B5A6CCA">
      <w:start w:val="1"/>
      <w:numFmt w:val="decimal"/>
      <w:lvlText w:val="%1."/>
      <w:lvlJc w:val="left"/>
      <w:pPr>
        <w:ind w:left="1157" w:hanging="277"/>
      </w:pPr>
      <w:rPr>
        <w:rFonts w:hint="default"/>
        <w:spacing w:val="-1"/>
        <w:w w:val="99"/>
      </w:rPr>
    </w:lvl>
    <w:lvl w:ilvl="1" w:tplc="0F0A4A6E">
      <w:numFmt w:val="bullet"/>
      <w:lvlText w:val="•"/>
      <w:lvlJc w:val="left"/>
      <w:pPr>
        <w:ind w:left="2084" w:hanging="277"/>
      </w:pPr>
      <w:rPr>
        <w:rFonts w:hint="default"/>
      </w:rPr>
    </w:lvl>
    <w:lvl w:ilvl="2" w:tplc="B0DA2766">
      <w:numFmt w:val="bullet"/>
      <w:lvlText w:val="•"/>
      <w:lvlJc w:val="left"/>
      <w:pPr>
        <w:ind w:left="3008" w:hanging="277"/>
      </w:pPr>
      <w:rPr>
        <w:rFonts w:hint="default"/>
      </w:rPr>
    </w:lvl>
    <w:lvl w:ilvl="3" w:tplc="EDE86194">
      <w:numFmt w:val="bullet"/>
      <w:lvlText w:val="•"/>
      <w:lvlJc w:val="left"/>
      <w:pPr>
        <w:ind w:left="3932" w:hanging="277"/>
      </w:pPr>
      <w:rPr>
        <w:rFonts w:hint="default"/>
      </w:rPr>
    </w:lvl>
    <w:lvl w:ilvl="4" w:tplc="027A762C">
      <w:numFmt w:val="bullet"/>
      <w:lvlText w:val="•"/>
      <w:lvlJc w:val="left"/>
      <w:pPr>
        <w:ind w:left="4856" w:hanging="277"/>
      </w:pPr>
      <w:rPr>
        <w:rFonts w:hint="default"/>
      </w:rPr>
    </w:lvl>
    <w:lvl w:ilvl="5" w:tplc="DD0C8E28">
      <w:numFmt w:val="bullet"/>
      <w:lvlText w:val="•"/>
      <w:lvlJc w:val="left"/>
      <w:pPr>
        <w:ind w:left="5780" w:hanging="277"/>
      </w:pPr>
      <w:rPr>
        <w:rFonts w:hint="default"/>
      </w:rPr>
    </w:lvl>
    <w:lvl w:ilvl="6" w:tplc="1E9C886E">
      <w:numFmt w:val="bullet"/>
      <w:lvlText w:val="•"/>
      <w:lvlJc w:val="left"/>
      <w:pPr>
        <w:ind w:left="6704" w:hanging="277"/>
      </w:pPr>
      <w:rPr>
        <w:rFonts w:hint="default"/>
      </w:rPr>
    </w:lvl>
    <w:lvl w:ilvl="7" w:tplc="83B09A7C">
      <w:numFmt w:val="bullet"/>
      <w:lvlText w:val="•"/>
      <w:lvlJc w:val="left"/>
      <w:pPr>
        <w:ind w:left="7628" w:hanging="277"/>
      </w:pPr>
      <w:rPr>
        <w:rFonts w:hint="default"/>
      </w:rPr>
    </w:lvl>
    <w:lvl w:ilvl="8" w:tplc="18C21096">
      <w:numFmt w:val="bullet"/>
      <w:lvlText w:val="•"/>
      <w:lvlJc w:val="left"/>
      <w:pPr>
        <w:ind w:left="8552" w:hanging="277"/>
      </w:pPr>
      <w:rPr>
        <w:rFonts w:hint="default"/>
      </w:rPr>
    </w:lvl>
  </w:abstractNum>
  <w:abstractNum w:abstractNumId="3" w15:restartNumberingAfterBreak="0">
    <w:nsid w:val="54690538"/>
    <w:multiLevelType w:val="hybridMultilevel"/>
    <w:tmpl w:val="B85E915A"/>
    <w:lvl w:ilvl="0" w:tplc="D278F6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1F149B"/>
    <w:multiLevelType w:val="hybridMultilevel"/>
    <w:tmpl w:val="58B8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32308"/>
    <w:multiLevelType w:val="hybridMultilevel"/>
    <w:tmpl w:val="A112AEFE"/>
    <w:lvl w:ilvl="0" w:tplc="A232056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503C45"/>
    <w:multiLevelType w:val="hybridMultilevel"/>
    <w:tmpl w:val="6B3EA8EA"/>
    <w:lvl w:ilvl="0" w:tplc="A232056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3876891">
    <w:abstractNumId w:val="3"/>
  </w:num>
  <w:num w:numId="2" w16cid:durableId="2117938200">
    <w:abstractNumId w:val="6"/>
  </w:num>
  <w:num w:numId="3" w16cid:durableId="1654524288">
    <w:abstractNumId w:val="5"/>
  </w:num>
  <w:num w:numId="4" w16cid:durableId="453211686">
    <w:abstractNumId w:val="1"/>
  </w:num>
  <w:num w:numId="5" w16cid:durableId="1402827415">
    <w:abstractNumId w:val="4"/>
  </w:num>
  <w:num w:numId="6" w16cid:durableId="1254166452">
    <w:abstractNumId w:val="2"/>
  </w:num>
  <w:num w:numId="7" w16cid:durableId="72981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6FF"/>
    <w:rsid w:val="00012BAA"/>
    <w:rsid w:val="0001509C"/>
    <w:rsid w:val="00025F41"/>
    <w:rsid w:val="00030B9F"/>
    <w:rsid w:val="00050027"/>
    <w:rsid w:val="000615B9"/>
    <w:rsid w:val="00061958"/>
    <w:rsid w:val="0007174B"/>
    <w:rsid w:val="000A4F4B"/>
    <w:rsid w:val="000C25C3"/>
    <w:rsid w:val="000C76FF"/>
    <w:rsid w:val="000E20E0"/>
    <w:rsid w:val="000E5656"/>
    <w:rsid w:val="000F1048"/>
    <w:rsid w:val="00107654"/>
    <w:rsid w:val="001124BE"/>
    <w:rsid w:val="001328C5"/>
    <w:rsid w:val="00132BA7"/>
    <w:rsid w:val="00144651"/>
    <w:rsid w:val="00164A5E"/>
    <w:rsid w:val="00166253"/>
    <w:rsid w:val="00174939"/>
    <w:rsid w:val="001A3FF7"/>
    <w:rsid w:val="001A7382"/>
    <w:rsid w:val="001A786C"/>
    <w:rsid w:val="001C08F6"/>
    <w:rsid w:val="001C3BF4"/>
    <w:rsid w:val="001D4225"/>
    <w:rsid w:val="001F3D29"/>
    <w:rsid w:val="00217B77"/>
    <w:rsid w:val="00220F0E"/>
    <w:rsid w:val="00236F03"/>
    <w:rsid w:val="002408B9"/>
    <w:rsid w:val="00241183"/>
    <w:rsid w:val="002669E6"/>
    <w:rsid w:val="00266E88"/>
    <w:rsid w:val="00267046"/>
    <w:rsid w:val="00273179"/>
    <w:rsid w:val="0029162C"/>
    <w:rsid w:val="00294FA6"/>
    <w:rsid w:val="002B4F79"/>
    <w:rsid w:val="002C5359"/>
    <w:rsid w:val="002D17B6"/>
    <w:rsid w:val="002D3D1F"/>
    <w:rsid w:val="002E0F65"/>
    <w:rsid w:val="002E3D58"/>
    <w:rsid w:val="002E74EC"/>
    <w:rsid w:val="002F075D"/>
    <w:rsid w:val="0032188D"/>
    <w:rsid w:val="003236C9"/>
    <w:rsid w:val="00333F81"/>
    <w:rsid w:val="00336411"/>
    <w:rsid w:val="0034374D"/>
    <w:rsid w:val="003455E2"/>
    <w:rsid w:val="00355A4E"/>
    <w:rsid w:val="00360F4F"/>
    <w:rsid w:val="0038061D"/>
    <w:rsid w:val="00397C6C"/>
    <w:rsid w:val="003D0C8F"/>
    <w:rsid w:val="003D31DB"/>
    <w:rsid w:val="003E1D47"/>
    <w:rsid w:val="003E4728"/>
    <w:rsid w:val="003E6A0E"/>
    <w:rsid w:val="003F1631"/>
    <w:rsid w:val="00407611"/>
    <w:rsid w:val="004210D0"/>
    <w:rsid w:val="0042578B"/>
    <w:rsid w:val="00427D90"/>
    <w:rsid w:val="00460984"/>
    <w:rsid w:val="00492B2A"/>
    <w:rsid w:val="004A2995"/>
    <w:rsid w:val="004B7777"/>
    <w:rsid w:val="004C28D3"/>
    <w:rsid w:val="004C347B"/>
    <w:rsid w:val="004D4B19"/>
    <w:rsid w:val="004D7E8B"/>
    <w:rsid w:val="004E38BB"/>
    <w:rsid w:val="0050765E"/>
    <w:rsid w:val="00525BC9"/>
    <w:rsid w:val="00527A40"/>
    <w:rsid w:val="00547928"/>
    <w:rsid w:val="00563680"/>
    <w:rsid w:val="00565E0E"/>
    <w:rsid w:val="00575A78"/>
    <w:rsid w:val="00575D45"/>
    <w:rsid w:val="0059703E"/>
    <w:rsid w:val="005C7FDC"/>
    <w:rsid w:val="005F7F40"/>
    <w:rsid w:val="0062156B"/>
    <w:rsid w:val="00621853"/>
    <w:rsid w:val="006305AB"/>
    <w:rsid w:val="00632791"/>
    <w:rsid w:val="00634EE7"/>
    <w:rsid w:val="006436E4"/>
    <w:rsid w:val="00670902"/>
    <w:rsid w:val="006821D6"/>
    <w:rsid w:val="00687F44"/>
    <w:rsid w:val="006A015D"/>
    <w:rsid w:val="006A08C8"/>
    <w:rsid w:val="006A0CD6"/>
    <w:rsid w:val="006A3B63"/>
    <w:rsid w:val="006D6382"/>
    <w:rsid w:val="006E571D"/>
    <w:rsid w:val="00705B75"/>
    <w:rsid w:val="00716A41"/>
    <w:rsid w:val="0072734C"/>
    <w:rsid w:val="00732298"/>
    <w:rsid w:val="00756CCF"/>
    <w:rsid w:val="00757597"/>
    <w:rsid w:val="00785814"/>
    <w:rsid w:val="007917CB"/>
    <w:rsid w:val="007A44AE"/>
    <w:rsid w:val="007A604B"/>
    <w:rsid w:val="007C3097"/>
    <w:rsid w:val="007C4AB1"/>
    <w:rsid w:val="007D025E"/>
    <w:rsid w:val="00842FC7"/>
    <w:rsid w:val="00856C01"/>
    <w:rsid w:val="00866A78"/>
    <w:rsid w:val="008773E9"/>
    <w:rsid w:val="00884F37"/>
    <w:rsid w:val="008A1BAA"/>
    <w:rsid w:val="008B1D04"/>
    <w:rsid w:val="008B7133"/>
    <w:rsid w:val="008C33E1"/>
    <w:rsid w:val="008D671F"/>
    <w:rsid w:val="00901D65"/>
    <w:rsid w:val="00906063"/>
    <w:rsid w:val="00933D06"/>
    <w:rsid w:val="009678B0"/>
    <w:rsid w:val="00971A59"/>
    <w:rsid w:val="00985F81"/>
    <w:rsid w:val="00990B5C"/>
    <w:rsid w:val="00A04485"/>
    <w:rsid w:val="00A115D3"/>
    <w:rsid w:val="00A130EA"/>
    <w:rsid w:val="00A23837"/>
    <w:rsid w:val="00A26602"/>
    <w:rsid w:val="00A60D60"/>
    <w:rsid w:val="00A70DBE"/>
    <w:rsid w:val="00A85C77"/>
    <w:rsid w:val="00AA6524"/>
    <w:rsid w:val="00AC3D0A"/>
    <w:rsid w:val="00AE6492"/>
    <w:rsid w:val="00AF0FD9"/>
    <w:rsid w:val="00AF768A"/>
    <w:rsid w:val="00B06865"/>
    <w:rsid w:val="00B07A8D"/>
    <w:rsid w:val="00B16283"/>
    <w:rsid w:val="00B3583E"/>
    <w:rsid w:val="00B628AC"/>
    <w:rsid w:val="00B75B4D"/>
    <w:rsid w:val="00B86055"/>
    <w:rsid w:val="00B86394"/>
    <w:rsid w:val="00B933FA"/>
    <w:rsid w:val="00BA1E6C"/>
    <w:rsid w:val="00BA2233"/>
    <w:rsid w:val="00BA3FB6"/>
    <w:rsid w:val="00BC6A2B"/>
    <w:rsid w:val="00BD3753"/>
    <w:rsid w:val="00BD3CB5"/>
    <w:rsid w:val="00BF005D"/>
    <w:rsid w:val="00C02650"/>
    <w:rsid w:val="00C11366"/>
    <w:rsid w:val="00C172C6"/>
    <w:rsid w:val="00C52671"/>
    <w:rsid w:val="00C6010E"/>
    <w:rsid w:val="00C75A29"/>
    <w:rsid w:val="00C91EBE"/>
    <w:rsid w:val="00C977FB"/>
    <w:rsid w:val="00CC4B3F"/>
    <w:rsid w:val="00CD1316"/>
    <w:rsid w:val="00CD2206"/>
    <w:rsid w:val="00CD3D37"/>
    <w:rsid w:val="00CE5CA4"/>
    <w:rsid w:val="00CF3C51"/>
    <w:rsid w:val="00CF7B2F"/>
    <w:rsid w:val="00D04172"/>
    <w:rsid w:val="00D14864"/>
    <w:rsid w:val="00D150DA"/>
    <w:rsid w:val="00D21D33"/>
    <w:rsid w:val="00D36550"/>
    <w:rsid w:val="00D46C42"/>
    <w:rsid w:val="00D605E9"/>
    <w:rsid w:val="00D6078B"/>
    <w:rsid w:val="00D67931"/>
    <w:rsid w:val="00D77557"/>
    <w:rsid w:val="00D902F9"/>
    <w:rsid w:val="00DF6D7A"/>
    <w:rsid w:val="00E15E10"/>
    <w:rsid w:val="00E34742"/>
    <w:rsid w:val="00E45433"/>
    <w:rsid w:val="00E6014E"/>
    <w:rsid w:val="00E77A83"/>
    <w:rsid w:val="00E95641"/>
    <w:rsid w:val="00EA56AA"/>
    <w:rsid w:val="00EE190C"/>
    <w:rsid w:val="00EF63A2"/>
    <w:rsid w:val="00F17971"/>
    <w:rsid w:val="00F23844"/>
    <w:rsid w:val="00F27E23"/>
    <w:rsid w:val="00F6209B"/>
    <w:rsid w:val="00F72DB4"/>
    <w:rsid w:val="00F848E6"/>
    <w:rsid w:val="00FB1330"/>
    <w:rsid w:val="00FC128B"/>
    <w:rsid w:val="00FD1FDF"/>
    <w:rsid w:val="00FE1660"/>
    <w:rsid w:val="00FE2B0A"/>
    <w:rsid w:val="00FF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style="mso-position-horizontal:right;mso-position-horizontal-relative:margin;mso-position-vertical:top;mso-position-vertical-relative:margin" fill="f" fillcolor="white" stroke="f">
      <v:fill color="white" on="f"/>
      <v:stroke on="f"/>
      <v:textbox style="mso-rotate-with-shape:t"/>
    </o:shapedefaults>
    <o:shapelayout v:ext="edit">
      <o:idmap v:ext="edit" data="1"/>
      <o:rules v:ext="edit">
        <o:r id="V:Rule1" type="callout" idref="#_x0000_s1029"/>
      </o:rules>
    </o:shapelayout>
  </w:shapeDefaults>
  <w:decimalSymbol w:val="."/>
  <w:listSeparator w:val=","/>
  <w14:docId w14:val="1A02985E"/>
  <w15:chartTrackingRefBased/>
  <w15:docId w15:val="{A743B441-BBC7-40AE-BA23-59630D04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F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6283"/>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01509C"/>
    <w:rPr>
      <w:sz w:val="20"/>
      <w:szCs w:val="20"/>
    </w:rPr>
  </w:style>
  <w:style w:type="paragraph" w:styleId="NoSpacing">
    <w:name w:val="No Spacing"/>
    <w:uiPriority w:val="1"/>
    <w:qFormat/>
    <w:rsid w:val="00CC4B3F"/>
    <w:pPr>
      <w:jc w:val="both"/>
    </w:pPr>
    <w:rPr>
      <w:sz w:val="24"/>
      <w:szCs w:val="22"/>
    </w:rPr>
  </w:style>
  <w:style w:type="paragraph" w:styleId="BalloonText">
    <w:name w:val="Balloon Text"/>
    <w:basedOn w:val="Normal"/>
    <w:link w:val="BalloonTextChar"/>
    <w:uiPriority w:val="99"/>
    <w:semiHidden/>
    <w:unhideWhenUsed/>
    <w:rsid w:val="001C08F6"/>
    <w:rPr>
      <w:rFonts w:ascii="Tahoma" w:hAnsi="Tahoma"/>
      <w:sz w:val="16"/>
      <w:szCs w:val="16"/>
      <w:lang w:val="x-none" w:eastAsia="x-none"/>
    </w:rPr>
  </w:style>
  <w:style w:type="character" w:customStyle="1" w:styleId="BalloonTextChar">
    <w:name w:val="Balloon Text Char"/>
    <w:link w:val="BalloonText"/>
    <w:uiPriority w:val="99"/>
    <w:semiHidden/>
    <w:rsid w:val="001C08F6"/>
    <w:rPr>
      <w:rFonts w:ascii="Tahoma" w:eastAsia="Times New Roman" w:hAnsi="Tahoma" w:cs="Tahoma"/>
      <w:sz w:val="16"/>
      <w:szCs w:val="16"/>
    </w:rPr>
  </w:style>
  <w:style w:type="character" w:styleId="Hyperlink">
    <w:name w:val="Hyperlink"/>
    <w:uiPriority w:val="99"/>
    <w:unhideWhenUsed/>
    <w:rsid w:val="008B1D04"/>
    <w:rPr>
      <w:color w:val="0000FF"/>
      <w:u w:val="single"/>
    </w:rPr>
  </w:style>
  <w:style w:type="character" w:styleId="FollowedHyperlink">
    <w:name w:val="FollowedHyperlink"/>
    <w:uiPriority w:val="99"/>
    <w:semiHidden/>
    <w:unhideWhenUsed/>
    <w:rsid w:val="002E0F65"/>
    <w:rPr>
      <w:color w:val="800080"/>
      <w:u w:val="single"/>
    </w:rPr>
  </w:style>
  <w:style w:type="paragraph" w:styleId="BodyText">
    <w:name w:val="Body Text"/>
    <w:basedOn w:val="Normal"/>
    <w:link w:val="BodyTextChar"/>
    <w:uiPriority w:val="1"/>
    <w:qFormat/>
    <w:rsid w:val="00AF768A"/>
    <w:pPr>
      <w:widowControl w:val="0"/>
      <w:autoSpaceDE w:val="0"/>
      <w:autoSpaceDN w:val="0"/>
      <w:spacing w:before="10"/>
    </w:pPr>
    <w:rPr>
      <w:rFonts w:ascii="Arial" w:eastAsia="Arial" w:hAnsi="Arial" w:cs="Arial"/>
      <w:sz w:val="20"/>
      <w:szCs w:val="20"/>
    </w:rPr>
  </w:style>
  <w:style w:type="character" w:customStyle="1" w:styleId="BodyTextChar">
    <w:name w:val="Body Text Char"/>
    <w:link w:val="BodyText"/>
    <w:uiPriority w:val="1"/>
    <w:rsid w:val="00AF768A"/>
    <w:rPr>
      <w:rFonts w:eastAsia="Arial" w:cs="Arial"/>
    </w:rPr>
  </w:style>
  <w:style w:type="paragraph" w:styleId="Title">
    <w:name w:val="Title"/>
    <w:basedOn w:val="Normal"/>
    <w:link w:val="TitleChar"/>
    <w:uiPriority w:val="1"/>
    <w:qFormat/>
    <w:rsid w:val="00AF768A"/>
    <w:pPr>
      <w:widowControl w:val="0"/>
      <w:autoSpaceDE w:val="0"/>
      <w:autoSpaceDN w:val="0"/>
      <w:spacing w:before="80"/>
      <w:ind w:left="3059" w:right="3066"/>
      <w:jc w:val="center"/>
    </w:pPr>
    <w:rPr>
      <w:rFonts w:ascii="Arial" w:eastAsia="Arial" w:hAnsi="Arial" w:cs="Arial"/>
      <w:b/>
      <w:bCs/>
      <w:sz w:val="23"/>
      <w:szCs w:val="23"/>
    </w:rPr>
  </w:style>
  <w:style w:type="character" w:customStyle="1" w:styleId="TitleChar">
    <w:name w:val="Title Char"/>
    <w:link w:val="Title"/>
    <w:uiPriority w:val="1"/>
    <w:rsid w:val="00AF768A"/>
    <w:rPr>
      <w:rFonts w:eastAsia="Arial" w:cs="Arial"/>
      <w:b/>
      <w:bCs/>
      <w:sz w:val="23"/>
      <w:szCs w:val="23"/>
    </w:rPr>
  </w:style>
  <w:style w:type="paragraph" w:styleId="ListParagraph">
    <w:name w:val="List Paragraph"/>
    <w:basedOn w:val="Normal"/>
    <w:uiPriority w:val="1"/>
    <w:qFormat/>
    <w:rsid w:val="00AF768A"/>
    <w:pPr>
      <w:widowControl w:val="0"/>
      <w:autoSpaceDE w:val="0"/>
      <w:autoSpaceDN w:val="0"/>
      <w:spacing w:before="10"/>
      <w:ind w:left="1156" w:hanging="282"/>
    </w:pPr>
    <w:rPr>
      <w:rFonts w:ascii="Arial" w:eastAsia="Arial" w:hAnsi="Arial" w:cs="Arial"/>
      <w:sz w:val="22"/>
      <w:szCs w:val="22"/>
    </w:rPr>
  </w:style>
  <w:style w:type="paragraph" w:styleId="Revision">
    <w:name w:val="Revision"/>
    <w:hidden/>
    <w:uiPriority w:val="99"/>
    <w:semiHidden/>
    <w:rsid w:val="00D14864"/>
    <w:rPr>
      <w:rFonts w:ascii="Times New Roman" w:eastAsia="Times New Roman" w:hAnsi="Times New Roman"/>
      <w:sz w:val="24"/>
      <w:szCs w:val="24"/>
    </w:rPr>
  </w:style>
  <w:style w:type="character" w:styleId="CommentReference">
    <w:name w:val="annotation reference"/>
    <w:uiPriority w:val="99"/>
    <w:semiHidden/>
    <w:unhideWhenUsed/>
    <w:rsid w:val="00B933FA"/>
    <w:rPr>
      <w:sz w:val="16"/>
      <w:szCs w:val="16"/>
    </w:rPr>
  </w:style>
  <w:style w:type="paragraph" w:styleId="CommentText">
    <w:name w:val="annotation text"/>
    <w:basedOn w:val="Normal"/>
    <w:link w:val="CommentTextChar"/>
    <w:uiPriority w:val="99"/>
    <w:unhideWhenUsed/>
    <w:rsid w:val="00B933FA"/>
    <w:rPr>
      <w:sz w:val="20"/>
      <w:szCs w:val="20"/>
    </w:rPr>
  </w:style>
  <w:style w:type="character" w:customStyle="1" w:styleId="CommentTextChar">
    <w:name w:val="Comment Text Char"/>
    <w:link w:val="CommentText"/>
    <w:uiPriority w:val="99"/>
    <w:rsid w:val="00B933F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933FA"/>
    <w:rPr>
      <w:b/>
      <w:bCs/>
    </w:rPr>
  </w:style>
  <w:style w:type="character" w:customStyle="1" w:styleId="CommentSubjectChar">
    <w:name w:val="Comment Subject Char"/>
    <w:link w:val="CommentSubject"/>
    <w:uiPriority w:val="99"/>
    <w:semiHidden/>
    <w:rsid w:val="00B933FA"/>
    <w:rPr>
      <w:rFonts w:ascii="Times New Roman" w:eastAsia="Times New Roman" w:hAnsi="Times New Roman"/>
      <w:b/>
      <w:bCs/>
    </w:rPr>
  </w:style>
  <w:style w:type="character" w:styleId="UnresolvedMention">
    <w:name w:val="Unresolved Mention"/>
    <w:uiPriority w:val="99"/>
    <w:semiHidden/>
    <w:unhideWhenUsed/>
    <w:rsid w:val="006A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27A38-003B-4F2B-9580-E2D99370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Bank</Company>
  <LinksUpToDate>false</LinksUpToDate>
  <CharactersWithSpaces>4438</CharactersWithSpaces>
  <SharedDoc>false</SharedDoc>
  <HLinks>
    <vt:vector size="12" baseType="variant">
      <vt:variant>
        <vt:i4>3735678</vt:i4>
      </vt:variant>
      <vt:variant>
        <vt:i4>3</vt:i4>
      </vt:variant>
      <vt:variant>
        <vt:i4>0</vt:i4>
      </vt:variant>
      <vt:variant>
        <vt:i4>5</vt:i4>
      </vt:variant>
      <vt:variant>
        <vt:lpwstr>http://www.lyberty.com/car/drive-cycle.html</vt:lpwstr>
      </vt:variant>
      <vt:variant>
        <vt:lpwstr/>
      </vt:variant>
      <vt:variant>
        <vt:i4>7602222</vt:i4>
      </vt:variant>
      <vt:variant>
        <vt:i4>0</vt:i4>
      </vt:variant>
      <vt:variant>
        <vt:i4>0</vt:i4>
      </vt:variant>
      <vt:variant>
        <vt:i4>5</vt:i4>
      </vt:variant>
      <vt:variant>
        <vt:lpwstr>http://www.aa1car.com/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Bwalker</dc:creator>
  <cp:keywords/>
  <cp:lastModifiedBy>Pierce, Brenda</cp:lastModifiedBy>
  <cp:revision>3</cp:revision>
  <cp:lastPrinted>2024-11-06T23:19:00Z</cp:lastPrinted>
  <dcterms:created xsi:type="dcterms:W3CDTF">2024-11-07T02:01:00Z</dcterms:created>
  <dcterms:modified xsi:type="dcterms:W3CDTF">2024-11-07T02:06:00Z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